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92" w:before="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2">
      <w:pPr>
        <w:shd w:fill="ffffff" w:val="clear"/>
        <w:spacing w:after="138" w:line="240" w:lineRule="auto"/>
        <w:jc w:val="both"/>
        <w:rPr/>
      </w:pPr>
      <w:r w:rsidDel="00000000" w:rsidR="00000000" w:rsidRPr="00000000">
        <w:rPr>
          <w:rtl w:val="0"/>
        </w:rPr>
        <w:t xml:space="preserve">Cromatografia Líquida de Alta Eficiência HPLC</w:t>
      </w:r>
    </w:p>
    <w:p w:rsidR="00000000" w:rsidDel="00000000" w:rsidP="00000000" w:rsidRDefault="00000000" w:rsidRPr="00000000" w14:paraId="00000003">
      <w:pPr>
        <w:shd w:fill="ffffff" w:val="clear"/>
        <w:spacing w:after="138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Projeto 2018/25682-0 concedido pela FAPESP.</w:t>
      </w:r>
    </w:p>
    <w:p w:rsidR="00000000" w:rsidDel="00000000" w:rsidP="00000000" w:rsidRDefault="00000000" w:rsidRPr="00000000" w14:paraId="00000004">
      <w:pPr>
        <w:shd w:fill="ffffff" w:val="clear"/>
        <w:spacing w:after="92" w:before="9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92" w:before="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Responsável</w:t>
      </w:r>
    </w:p>
    <w:p w:rsidR="00000000" w:rsidDel="00000000" w:rsidP="00000000" w:rsidRDefault="00000000" w:rsidRPr="00000000" w14:paraId="00000006">
      <w:pPr>
        <w:shd w:fill="ffffff" w:val="clear"/>
        <w:spacing w:after="92" w:before="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Dr. Lee Lynd</w:t>
      </w:r>
    </w:p>
    <w:p w:rsidR="00000000" w:rsidDel="00000000" w:rsidP="00000000" w:rsidRDefault="00000000" w:rsidRPr="00000000" w14:paraId="00000007">
      <w:pPr>
        <w:shd w:fill="ffffff" w:val="clear"/>
        <w:spacing w:after="92" w:before="9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92" w:before="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Localização</w:t>
      </w:r>
    </w:p>
    <w:p w:rsidR="00000000" w:rsidDel="00000000" w:rsidP="00000000" w:rsidRDefault="00000000" w:rsidRPr="00000000" w14:paraId="00000009">
      <w:pPr>
        <w:shd w:fill="ffffff" w:val="clear"/>
        <w:spacing w:after="138" w:line="240" w:lineRule="auto"/>
        <w:jc w:val="both"/>
        <w:rPr/>
      </w:pPr>
      <w:r w:rsidDel="00000000" w:rsidR="00000000" w:rsidRPr="00000000">
        <w:rPr>
          <w:rtl w:val="0"/>
        </w:rPr>
        <w:t xml:space="preserve">LRAC - LABORATÓRIO DE CARACTERIZAÇÃO DE BIOMASSA, RECURSOS ANALÍTICOS E DE CALIBRAÇÃO na Faculdade de Engenharia Química.</w:t>
      </w:r>
    </w:p>
    <w:p w:rsidR="00000000" w:rsidDel="00000000" w:rsidP="00000000" w:rsidRDefault="00000000" w:rsidRPr="00000000" w14:paraId="0000000A">
      <w:pPr>
        <w:shd w:fill="ffffff" w:val="clear"/>
        <w:spacing w:after="138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92" w:before="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</w:t>
      </w:r>
    </w:p>
    <w:p w:rsidR="00000000" w:rsidDel="00000000" w:rsidP="00000000" w:rsidRDefault="00000000" w:rsidRPr="00000000" w14:paraId="0000000C">
      <w:pPr>
        <w:shd w:fill="ffffff" w:val="clear"/>
        <w:spacing w:after="138" w:line="24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O equipamento de </w:t>
      </w:r>
      <w:r w:rsidDel="00000000" w:rsidR="00000000" w:rsidRPr="00000000">
        <w:rPr>
          <w:rtl w:val="0"/>
        </w:rPr>
        <w:t xml:space="preserve">Cromatografia Líquida de Alta Eficiência HPLC</w:t>
      </w:r>
      <w:r w:rsidDel="00000000" w:rsidR="00000000" w:rsidRPr="00000000">
        <w:rPr>
          <w:sz w:val="24"/>
          <w:szCs w:val="24"/>
          <w:rtl w:val="0"/>
        </w:rPr>
        <w:t xml:space="preserve">, fabricado pela </w:t>
      </w:r>
      <w:r w:rsidDel="00000000" w:rsidR="00000000" w:rsidRPr="00000000">
        <w:rPr>
          <w:rtl w:val="0"/>
        </w:rPr>
        <w:t xml:space="preserve">Thermo Scientific</w:t>
      </w:r>
      <w:r w:rsidDel="00000000" w:rsidR="00000000" w:rsidRPr="00000000">
        <w:rPr>
          <w:sz w:val="24"/>
          <w:szCs w:val="24"/>
          <w:rtl w:val="0"/>
        </w:rPr>
        <w:t xml:space="preserve">, é um equipamento multiusuário (EMU) e </w:t>
      </w:r>
      <w:r w:rsidDel="00000000" w:rsidR="00000000" w:rsidRPr="00000000">
        <w:rPr>
          <w:rtl w:val="0"/>
        </w:rPr>
        <w:t xml:space="preserve">a análise se baseiam em um solvente líquido (fase móvel) que é transportado continuamente com auxílio de bomba até a coluna cromatográfica (fase estacionária), através de um sistema de injeção automático, a amostra é inserida neste sistema, as diferentes interações entre as moléculas presentes na amostra e a fase estacionária fazem com que estas tenham tempo de retenção distinto no sistema fazendo com que seja possível separar os compostos presentes na amostra. Com emprego e injeções prévias dos padrões em estudo podem-se quantificar os compostos detectados.</w:t>
      </w:r>
    </w:p>
    <w:p w:rsidR="00000000" w:rsidDel="00000000" w:rsidP="00000000" w:rsidRDefault="00000000" w:rsidRPr="00000000" w14:paraId="0000000D">
      <w:pPr>
        <w:shd w:fill="ffffff" w:val="clear"/>
        <w:spacing w:after="138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38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regras de uso do equipamento estão descritas no plano de gestão abaixo:</w:t>
      </w:r>
    </w:p>
    <w:p w:rsidR="00000000" w:rsidDel="00000000" w:rsidP="00000000" w:rsidRDefault="00000000" w:rsidRPr="00000000" w14:paraId="0000000F">
      <w:pPr>
        <w:shd w:fill="ffffff" w:val="clear"/>
        <w:spacing w:after="92" w:before="9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Plano para gestão e uso do equipamento </w:t>
        </w:r>
      </w:hyperlink>
      <w:r w:rsidDel="00000000" w:rsidR="00000000" w:rsidRPr="00000000">
        <w:rPr>
          <w:sz w:val="24"/>
          <w:szCs w:val="24"/>
          <w:rtl w:val="0"/>
        </w:rPr>
        <w:t xml:space="preserve">: Link: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308579</wp:posOffset>
            </wp:positionV>
            <wp:extent cx="2039303" cy="310893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23895" l="71005" r="17750" t="45393"/>
                    <a:stretch>
                      <a:fillRect/>
                    </a:stretch>
                  </pic:blipFill>
                  <pic:spPr>
                    <a:xfrm>
                      <a:off x="0" y="0"/>
                      <a:ext cx="2039303" cy="31089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5485"/>
  </w:style>
  <w:style w:type="paragraph" w:styleId="Ttulo3">
    <w:name w:val="heading 3"/>
    <w:basedOn w:val="Normal"/>
    <w:link w:val="Ttulo3Char"/>
    <w:uiPriority w:val="9"/>
    <w:qFormat w:val="1"/>
    <w:rsid w:val="00EF05B8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uiPriority w:val="9"/>
    <w:rsid w:val="00EF05B8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F05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EF05B8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rtal.ifi.unicamp.br/servicos/equipamentos-multiusuarios-emus/espectrometro-de-imagem-ihr550#collapse-plano-gestao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5t9G6zG2qPde2VW8qkYFf3u5IA==">AMUW2mXORerIoQCJpBfxEYwqAd/mHWa+NdWstksueNuK5ISjB/ZzQUEAy6xQmRP2iJCpbG8XYwGT2dwYuwoXTffak46nq4IXEg+eK2ieITfeKgF8YRckf/c=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2022-10-05T19:03:00Z</dcterms:created>
  <dc:creator>Juliana Nunes Salvadeo</dc:creator>
</cp:coreProperties>
</file>